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5B32" w14:textId="7FB739B8" w:rsidR="00897EE3" w:rsidRPr="0065510A" w:rsidRDefault="008640AE" w:rsidP="00D437BE">
      <w:pPr>
        <w:ind w:firstLineChars="200" w:firstLine="420"/>
        <w:jc w:val="left"/>
        <w:rPr>
          <w:rFonts w:ascii="HGP創英角ﾎﾟｯﾌﾟ体" w:eastAsia="HGP創英角ﾎﾟｯﾌﾟ体" w:hint="eastAsia"/>
          <w:b/>
          <w:bCs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4BD03B" wp14:editId="697319F2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91">
        <w:rPr>
          <w:rFonts w:ascii="HG丸ｺﾞｼｯｸM-PRO" w:eastAsia="HG丸ｺﾞｼｯｸM-PRO" w:hint="eastAsia"/>
          <w:b/>
          <w:bCs/>
          <w:kern w:val="0"/>
          <w:sz w:val="40"/>
        </w:rPr>
        <w:t>２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2E3091">
        <w:rPr>
          <w:rFonts w:ascii="HG丸ｺﾞｼｯｸM-PRO" w:eastAsia="HG丸ｺﾞｼｯｸM-PRO" w:hint="eastAsia"/>
          <w:b/>
          <w:bCs/>
          <w:kern w:val="0"/>
          <w:sz w:val="40"/>
        </w:rPr>
        <w:t>２８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日刊行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9251AC" w14:paraId="2926A726" w14:textId="77777777" w:rsidTr="004B435A">
        <w:tblPrEx>
          <w:tblCellMar>
            <w:top w:w="0" w:type="dxa"/>
            <w:bottom w:w="0" w:type="dxa"/>
          </w:tblCellMar>
        </w:tblPrEx>
        <w:trPr>
          <w:trHeight w:val="9604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2F326608" w14:textId="77777777" w:rsidR="0010636E" w:rsidRPr="0010636E" w:rsidRDefault="0010636E" w:rsidP="0010636E">
            <w:pPr>
              <w:jc w:val="left"/>
              <w:rPr>
                <w:rFonts w:ascii="HGPｺﾞｼｯｸE" w:eastAsia="HGPｺﾞｼｯｸE" w:hAnsi="HGPｺﾞｼｯｸE"/>
                <w:sz w:val="4"/>
                <w:szCs w:val="4"/>
              </w:rPr>
            </w:pPr>
          </w:p>
          <w:p w14:paraId="3B8104B8" w14:textId="77777777" w:rsidR="0010636E" w:rsidRDefault="0010636E" w:rsidP="0010636E">
            <w:pPr>
              <w:jc w:val="center"/>
              <w:rPr>
                <w:rFonts w:ascii="HGPｺﾞｼｯｸE" w:eastAsia="HGPｺﾞｼｯｸE" w:hAnsi="HGPｺﾞｼｯｸE" w:hint="eastAsia"/>
                <w:color w:val="2E74B5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color w:val="2E74B5"/>
                <w:sz w:val="40"/>
                <w:szCs w:val="40"/>
              </w:rPr>
              <w:t>準備ができていますか</w:t>
            </w:r>
            <w:r w:rsidR="00801ACF">
              <w:rPr>
                <w:rFonts w:ascii="HGPｺﾞｼｯｸE" w:eastAsia="HGPｺﾞｼｯｸE" w:hAnsi="HGPｺﾞｼｯｸE" w:hint="eastAsia"/>
                <w:color w:val="2E74B5"/>
                <w:sz w:val="4"/>
                <w:szCs w:val="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color w:val="2E74B5"/>
                <w:sz w:val="32"/>
                <w:szCs w:val="32"/>
              </w:rPr>
              <w:t>？</w:t>
            </w:r>
          </w:p>
          <w:p w14:paraId="5F9EC914" w14:textId="77777777" w:rsidR="005712DA" w:rsidRDefault="003D5CAD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color w:val="2E74B5"/>
                <w:sz w:val="16"/>
                <w:szCs w:val="16"/>
              </w:rPr>
            </w:pPr>
            <w:r>
              <w:rPr>
                <w:rFonts w:ascii="HGSｺﾞｼｯｸE" w:eastAsia="HGSｺﾞｼｯｸE" w:hAnsi="HGSｺﾞｼｯｸE" w:hint="eastAsia"/>
                <w:color w:val="2E74B5"/>
                <w:sz w:val="72"/>
                <w:szCs w:val="72"/>
              </w:rPr>
              <w:t>消費税</w:t>
            </w:r>
            <w:r w:rsidR="001E1295">
              <w:rPr>
                <w:rFonts w:ascii="HGSｺﾞｼｯｸE" w:eastAsia="HGSｺﾞｼｯｸE" w:hAnsi="HGSｺﾞｼｯｸE" w:hint="eastAsia"/>
                <w:color w:val="2E74B5"/>
                <w:sz w:val="4"/>
                <w:szCs w:val="4"/>
              </w:rPr>
              <w:t xml:space="preserve">　</w:t>
            </w:r>
            <w:r w:rsidR="00B654B3">
              <w:rPr>
                <w:rFonts w:ascii="HGSｺﾞｼｯｸE" w:eastAsia="HGSｺﾞｼｯｸE" w:hAnsi="HGSｺﾞｼｯｸE" w:hint="eastAsia"/>
                <w:color w:val="2E74B5"/>
                <w:sz w:val="56"/>
                <w:szCs w:val="56"/>
              </w:rPr>
              <w:t>の</w:t>
            </w:r>
            <w:r w:rsidR="00B654B3">
              <w:rPr>
                <w:rFonts w:ascii="HGSｺﾞｼｯｸE" w:eastAsia="HGSｺﾞｼｯｸE" w:hAnsi="HGSｺﾞｼｯｸE" w:hint="eastAsia"/>
                <w:color w:val="2E74B5"/>
                <w:sz w:val="72"/>
                <w:szCs w:val="72"/>
              </w:rPr>
              <w:t>インボイス制度</w:t>
            </w:r>
          </w:p>
          <w:p w14:paraId="6994F3FB" w14:textId="77777777" w:rsidR="00207206" w:rsidRPr="00FB6797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D437B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E36C2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9C4EF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2</w:t>
            </w:r>
            <w:r w:rsidR="001A37E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3【リーフ】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317EA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1A37E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8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 定価</w:t>
            </w:r>
            <w:r w:rsidR="001A37E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</w:t>
            </w:r>
            <w:r w:rsidR="009C4EF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0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0円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（税</w:t>
            </w:r>
            <w:r w:rsidR="001A37E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込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</w:t>
            </w:r>
            <w:r w:rsidR="00841D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送料別</w:t>
            </w:r>
          </w:p>
          <w:p w14:paraId="1260DDB8" w14:textId="18CA677B" w:rsidR="00897EE3" w:rsidRDefault="00B94203" w:rsidP="00E67F1E">
            <w:pPr>
              <w:rPr>
                <w:rFonts w:hint="eastAsia"/>
              </w:rPr>
            </w:pPr>
            <w:r>
              <w:rPr>
                <w:rFonts w:ascii="HGS創英角ｺﾞｼｯｸUB" w:eastAsia="HGS創英角ｺﾞｼｯｸUB" w:hAnsi="ＭＳ ゴシック" w:hint="eastAsia"/>
                <w:noProof/>
                <w:color w:val="008A3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BEA03C" wp14:editId="11AC806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3130550</wp:posOffset>
                      </wp:positionV>
                      <wp:extent cx="5629275" cy="1428750"/>
                      <wp:effectExtent l="9525" t="9525" r="9525" b="952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3A440" w14:textId="77777777" w:rsidR="005A4D3A" w:rsidRPr="00E87143" w:rsidRDefault="00E20807" w:rsidP="00F969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＜</w:t>
                                  </w:r>
                                  <w:r w:rsidR="005A4D3A" w:rsidRPr="009537A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内</w:t>
                                  </w:r>
                                  <w:r w:rsidR="00F9694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A4D3A" w:rsidRPr="009537A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容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  <w:r w:rsidR="00F9694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92A3E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インボイス制度の概要</w:t>
                                  </w:r>
                                  <w:r w:rsidR="00BA21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（令和５年10月に開始されます、</w:t>
                                  </w:r>
                                  <w:r w:rsidR="001F74A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｢</w:t>
                                  </w:r>
                                  <w:r w:rsidR="00BA21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インボイス</w:t>
                                  </w:r>
                                  <w:r w:rsidR="001F74A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｣</w:t>
                                  </w:r>
                                  <w:r w:rsidR="00BA21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とは、消費税の基本的な仕組み、６年間の経過措置が設けられています）</w:t>
                                  </w:r>
                                  <w:r w:rsidR="00084D3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BA21BE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農業者等の対応</w:t>
                                  </w:r>
                                  <w:r w:rsidR="00BA21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（課税事業者（本則課税）の場合、簡易課税事業者の場合、免税事業者の場合）</w:t>
                                  </w:r>
                                  <w:r w:rsidR="00084D3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6C17CE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インボイス制度の特例</w:t>
                                  </w:r>
                                  <w:r w:rsidR="006C17C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（納税額を売上税額の２割に、１万円未満の少額取引はインボイス不要）</w:t>
                                  </w:r>
                                  <w:r w:rsidR="00BE531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6C17CE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課税事業者となるか否か、総合的に判断を</w:t>
                                  </w:r>
                                  <w:r w:rsidR="006C17C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（総合的判断のポイント、農事組合法人や任意組合の組合員（構成員）等の留意点）</w:t>
                                  </w:r>
                                  <w:r w:rsidR="00084D3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8566B7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インボイス制度に対応する補助金があります</w:t>
                                  </w:r>
                                  <w:r w:rsidR="001771C8" w:rsidRPr="001771C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566B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ＩＴ導入補助金</w:t>
                                  </w:r>
                                  <w:r w:rsidR="006366C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､</w:t>
                                  </w:r>
                                  <w:r w:rsidR="008566B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小規模事業者持続化補助金</w:t>
                                  </w:r>
                                  <w:r w:rsidR="006366C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)､</w:t>
                                  </w:r>
                                  <w:r w:rsidR="002A5CBE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登録申請手続きは</w:t>
                                  </w:r>
                                  <w:r w:rsidR="008E4F9F" w:rsidRPr="003E0CC5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e-Tax</w:t>
                                  </w:r>
                                  <w:r w:rsidR="008E4F9F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が便利です</w:t>
                                  </w:r>
                                  <w:r w:rsidR="00084D3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84D35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インボイス制度特設サイト</w:t>
                                  </w:r>
                                  <w:r w:rsidR="00084D3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84D35" w:rsidRPr="003E0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全国農業図書のご案内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A03C" id="Rectangle 35" o:spid="_x0000_s1026" style="position:absolute;left:0;text-align:left;margin-left:12.85pt;margin-top:246.5pt;width:443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">
                      <v:textbox inset="5.85pt,2.05mm,5.85pt,2.05mm">
                        <w:txbxContent>
                          <w:p w14:paraId="4DC3A440" w14:textId="77777777" w:rsidR="005A4D3A" w:rsidRPr="00E87143" w:rsidRDefault="00E20807" w:rsidP="00F9694B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5A4D3A" w:rsidRPr="009537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内</w:t>
                            </w:r>
                            <w:r w:rsidR="00F969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4D3A" w:rsidRPr="009537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容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＞</w:t>
                            </w:r>
                            <w:r w:rsidR="00F969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A3E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インボイス制度の概要</w:t>
                            </w:r>
                            <w:r w:rsidR="00BA21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（令和５年10月に開始されます、</w:t>
                            </w:r>
                            <w:r w:rsidR="001F74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｢</w:t>
                            </w:r>
                            <w:r w:rsidR="00BA21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インボイス</w:t>
                            </w:r>
                            <w:r w:rsidR="001F74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｣</w:t>
                            </w:r>
                            <w:r w:rsidR="00BA21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とは、消費税の基本的な仕組み、６年間の経過措置が設けられています）</w:t>
                            </w:r>
                            <w:r w:rsidR="00084D3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A21BE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農業者等の対応</w:t>
                            </w:r>
                            <w:r w:rsidR="00BA21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（課税事業者（本則課税）の場合、簡易課税事業者の場合、免税事業者の場合）</w:t>
                            </w:r>
                            <w:r w:rsidR="00084D3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C17CE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インボイス制度の特例</w:t>
                            </w:r>
                            <w:r w:rsidR="006C17C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（納税額を売上税額の２割に、１万円未満の少額取引はインボイス不要）</w:t>
                            </w:r>
                            <w:r w:rsidR="00BE531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C17CE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課税事業者となるか否か、総合的に判断を</w:t>
                            </w:r>
                            <w:r w:rsidR="006C17C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（総合的判断のポイント、農事組合法人や任意組合の組合員（構成員）等の留意点）</w:t>
                            </w:r>
                            <w:r w:rsidR="00084D3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8566B7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インボイス制度に対応する補助金があります</w:t>
                            </w:r>
                            <w:r w:rsidR="001771C8" w:rsidRPr="001771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8566B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ＩＴ導入補助金</w:t>
                            </w:r>
                            <w:r w:rsidR="006366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､</w:t>
                            </w:r>
                            <w:r w:rsidR="008566B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小規模事業者持続化補助金</w:t>
                            </w:r>
                            <w:r w:rsidR="006366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)､</w:t>
                            </w:r>
                            <w:r w:rsidR="002A5CBE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登録申請手続きは</w:t>
                            </w:r>
                            <w:r w:rsidR="008E4F9F" w:rsidRPr="003E0CC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e-Tax</w:t>
                            </w:r>
                            <w:r w:rsidR="008E4F9F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が便利です</w:t>
                            </w:r>
                            <w:r w:rsidR="00084D3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84D35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インボイス制度特設サイト</w:t>
                            </w:r>
                            <w:r w:rsidR="00084D3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84D35" w:rsidRPr="003E0C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全国農業図書のご案内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803DAC" wp14:editId="5A0998E8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137160</wp:posOffset>
                      </wp:positionV>
                      <wp:extent cx="2438400" cy="2812415"/>
                      <wp:effectExtent l="9525" t="13335" r="9525" b="1270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81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001AB" w14:textId="77777777" w:rsidR="00BD167C" w:rsidRDefault="00886DFE" w:rsidP="00DD61F8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 w:rsidRPr="00886DF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消費税</w:t>
                                  </w:r>
                                  <w:r w:rsidR="00B33D62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の</w:t>
                                  </w:r>
                                  <w:r w:rsidRPr="00886DF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インボイス制度</w:t>
                                  </w:r>
                                  <w:r w:rsidR="004B7A6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（適格請求書等保存方式）</w:t>
                                  </w:r>
                                  <w:r w:rsidRPr="00886DF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導入で迫られる課税事業者</w:t>
                                  </w:r>
                                  <w:r w:rsidR="00E931B4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となるか否かの</w:t>
                                  </w:r>
                                  <w:r w:rsidRPr="00886DF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選択</w:t>
                                  </w:r>
                                  <w:r w:rsidR="00E931B4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。</w:t>
                                  </w:r>
                                  <w:r w:rsidR="0064305A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課税事業者、簡易課税事業者、免税事業者</w:t>
                                  </w:r>
                                  <w:r w:rsidR="00F13F8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となっている</w:t>
                                  </w:r>
                                  <w:r w:rsidR="00257C25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農業者の対応</w:t>
                                  </w:r>
                                  <w:r w:rsidR="0064305A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とともに、インボイスを発行できない免税事業者が</w:t>
                                  </w:r>
                                  <w:r w:rsidR="004078B1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あえて</w:t>
                                  </w:r>
                                  <w:r w:rsidR="0064305A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課税事業者となることを選択し、発行事業者として登録を受ける</w:t>
                                  </w:r>
                                  <w:r w:rsidR="00862856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際の</w:t>
                                  </w:r>
                                  <w:r w:rsidR="0064305A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総合的判断のポイントを整理</w:t>
                                  </w:r>
                                  <w:r w:rsidR="00793AA8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しています</w:t>
                                  </w:r>
                                  <w:r w:rsidR="0064305A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7E5CB337" w14:textId="77777777" w:rsidR="00897EE3" w:rsidRPr="00DD61F8" w:rsidRDefault="0064305A" w:rsidP="00DD61F8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令和５年度税制改正で導入された中小企業者向け</w:t>
                                  </w:r>
                                  <w:r w:rsidR="00862856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特例</w:t>
                                  </w:r>
                                  <w:r w:rsidR="004B7A6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２つ</w:t>
                                  </w:r>
                                  <w:r w:rsidR="00AF3EF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も紹介</w:t>
                                  </w:r>
                                  <w:r w:rsidR="00DD61F8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。インボイス制度に対応する補助金や</w:t>
                                  </w:r>
                                  <w:r w:rsidR="00055F3E" w:rsidRPr="00055F3E"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  <w:t>e-Tax</w:t>
                                  </w:r>
                                  <w:r w:rsidR="00055F3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による</w:t>
                                  </w:r>
                                  <w:r w:rsidR="00DD61F8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登録申請手続き、</w:t>
                                  </w:r>
                                  <w:r w:rsidR="00862856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役立つ</w:t>
                                  </w:r>
                                  <w:r w:rsidR="00DD61F8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関連図書も紹介</w:t>
                                  </w:r>
                                  <w:r w:rsidR="00055F3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しています。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03DAC" id="Rectangle 25" o:spid="_x0000_s1027" style="position:absolute;left:0;text-align:left;margin-left:264.1pt;margin-top:10.8pt;width:192pt;height:22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">
                      <v:textbox inset="5.85pt,2.05mm,5.85pt,2.05mm">
                        <w:txbxContent>
                          <w:p w14:paraId="1E5001AB" w14:textId="77777777" w:rsidR="00BD167C" w:rsidRDefault="00886DFE" w:rsidP="00DD61F8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 w:rsidRPr="00886DF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消費税</w:t>
                            </w:r>
                            <w:r w:rsidR="00B33D62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の</w:t>
                            </w:r>
                            <w:r w:rsidRPr="00886DF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インボイス制度</w:t>
                            </w:r>
                            <w:r w:rsidR="004B7A6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（適格請求書等保存方式）</w:t>
                            </w:r>
                            <w:r w:rsidRPr="00886DF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導入で迫られる課税事業者</w:t>
                            </w:r>
                            <w:r w:rsidR="00E931B4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となるか否かの</w:t>
                            </w:r>
                            <w:r w:rsidRPr="00886DF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選択</w:t>
                            </w:r>
                            <w:r w:rsidR="00E931B4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。</w:t>
                            </w:r>
                            <w:r w:rsidR="0064305A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課税事業者、簡易課税事業者、免税事業者</w:t>
                            </w:r>
                            <w:r w:rsidR="00F13F8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となっている</w:t>
                            </w:r>
                            <w:r w:rsidR="00257C25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農業者の対応</w:t>
                            </w:r>
                            <w:r w:rsidR="0064305A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とともに、インボイスを発行できない免税事業者が</w:t>
                            </w:r>
                            <w:r w:rsidR="004078B1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あえて</w:t>
                            </w:r>
                            <w:r w:rsidR="0064305A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課税事業者となることを選択し、発行事業者として登録を受ける</w:t>
                            </w:r>
                            <w:r w:rsidR="00862856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際の</w:t>
                            </w:r>
                            <w:r w:rsidR="0064305A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総合的判断のポイントを整理</w:t>
                            </w:r>
                            <w:r w:rsidR="00793AA8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しています</w:t>
                            </w:r>
                            <w:r w:rsidR="0064305A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7E5CB337" w14:textId="77777777" w:rsidR="00897EE3" w:rsidRPr="00DD61F8" w:rsidRDefault="0064305A" w:rsidP="00DD61F8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令和５年度税制改正で導入された中小企業者向け</w:t>
                            </w:r>
                            <w:r w:rsidR="00862856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特例</w:t>
                            </w:r>
                            <w:r w:rsidR="004B7A6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２つ</w:t>
                            </w:r>
                            <w:r w:rsidR="00AF3EF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も紹介</w:t>
                            </w:r>
                            <w:r w:rsidR="00DD61F8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。インボイス制度に対応する補助金や</w:t>
                            </w:r>
                            <w:r w:rsidR="00055F3E" w:rsidRPr="00055F3E">
                              <w:rPr>
                                <w:rFonts w:ascii="ＭＳ ゴシック" w:eastAsia="ＭＳ ゴシック"/>
                                <w:szCs w:val="21"/>
                              </w:rPr>
                              <w:t>e-Tax</w:t>
                            </w:r>
                            <w:r w:rsidR="00055F3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による</w:t>
                            </w:r>
                            <w:r w:rsidR="00DD61F8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登録申請手続き、</w:t>
                            </w:r>
                            <w:r w:rsidR="00862856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役立つ</w:t>
                            </w:r>
                            <w:r w:rsidR="00DD61F8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関連図書も紹介</w:t>
                            </w:r>
                            <w:r w:rsidR="00055F3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しています。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15E7FA" wp14:editId="749E4948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225425</wp:posOffset>
                      </wp:positionV>
                      <wp:extent cx="981075" cy="2713355"/>
                      <wp:effectExtent l="9525" t="9525" r="9525" b="10795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71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F1E66A" w14:textId="77777777" w:rsidR="00895A58" w:rsidRPr="00052D73" w:rsidRDefault="00895A5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="0053671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課税事業者選択の</w:t>
                                  </w:r>
                                </w:p>
                                <w:p w14:paraId="35214494" w14:textId="77777777" w:rsidR="00895A58" w:rsidRPr="00052D73" w:rsidRDefault="00895A58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95A58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="00052D73" w:rsidRPr="00052D73">
                                    <w:rPr>
                                      <w:rFonts w:hint="eastAsia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 w:rsidR="00536719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判断ポイント整理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5E7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8" type="#_x0000_t202" style="position:absolute;left:0;text-align:left;margin-left:179.35pt;margin-top:17.75pt;width:77.25pt;height:21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" strokecolor="white">
                      <v:textbox style="layout-flow:vertical-ideographic" inset="5.85pt,.7pt,5.85pt,.7pt">
                        <w:txbxContent>
                          <w:p w14:paraId="22F1E66A" w14:textId="77777777" w:rsidR="00895A58" w:rsidRPr="00052D73" w:rsidRDefault="00895A5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53671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課税事業者選択の</w:t>
                            </w:r>
                          </w:p>
                          <w:p w14:paraId="35214494" w14:textId="77777777" w:rsidR="00895A58" w:rsidRPr="00052D73" w:rsidRDefault="00895A58">
                            <w:pP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95A5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52D73" w:rsidRPr="00052D73">
                              <w:rPr>
                                <w:rFonts w:hint="eastAsia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53671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判断ポイント整理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9CAF250" wp14:editId="293D4F14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124460</wp:posOffset>
                  </wp:positionV>
                  <wp:extent cx="2000250" cy="2828925"/>
                  <wp:effectExtent l="19050" t="19050" r="0" b="9525"/>
                  <wp:wrapSquare wrapText="bothSides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AE72556" w14:textId="77777777" w:rsidR="00D8222B" w:rsidRDefault="00D8222B" w:rsidP="00D8222B">
      <w:pPr>
        <w:spacing w:line="220" w:lineRule="exact"/>
        <w:rPr>
          <w:rFonts w:ascii="ＭＳ ゴシック" w:eastAsia="ＭＳ ゴシック" w:hint="eastAsia"/>
        </w:rPr>
      </w:pPr>
    </w:p>
    <w:p w14:paraId="2090277D" w14:textId="77777777" w:rsidR="006C61F7" w:rsidRDefault="006C61F7" w:rsidP="00D8222B">
      <w:pPr>
        <w:spacing w:line="220" w:lineRule="exact"/>
        <w:rPr>
          <w:rFonts w:ascii="ＭＳ ゴシック" w:eastAsia="ＭＳ ゴシック" w:hint="eastAsia"/>
        </w:rPr>
      </w:pPr>
    </w:p>
    <w:p w14:paraId="5547B8AE" w14:textId="77777777" w:rsidR="00D8222B" w:rsidRPr="00D8222B" w:rsidRDefault="00D8222B" w:rsidP="00D8222B">
      <w:pPr>
        <w:spacing w:line="220" w:lineRule="exact"/>
        <w:rPr>
          <w:rFonts w:ascii="ＭＳ ゴシック" w:eastAsia="ＭＳ ゴシック" w:hint="eastAsia"/>
          <w:szCs w:val="21"/>
        </w:rPr>
      </w:pPr>
      <w:r w:rsidRPr="00D8222B">
        <w:rPr>
          <w:rFonts w:ascii="ＭＳ ゴシック" w:eastAsia="ＭＳ ゴシック" w:hint="eastAsia"/>
        </w:rPr>
        <w:t xml:space="preserve">発行　</w:t>
      </w:r>
      <w:r w:rsidRPr="00660B6A">
        <w:rPr>
          <w:rFonts w:ascii="ＭＳ ゴシック" w:eastAsia="ＭＳ ゴシック" w:hint="eastAsia"/>
          <w:kern w:val="0"/>
          <w:szCs w:val="21"/>
          <w:fitText w:val="3150" w:id="1262188548"/>
        </w:rPr>
        <w:t>全国農業委員会ネットワーク機構</w:t>
      </w:r>
      <w:r w:rsidRPr="00D8222B">
        <w:rPr>
          <w:rFonts w:ascii="ＭＳ ゴシック" w:eastAsia="ＭＳ ゴシック" w:hint="eastAsia"/>
          <w:kern w:val="0"/>
          <w:szCs w:val="21"/>
        </w:rPr>
        <w:t xml:space="preserve">  </w:t>
      </w:r>
      <w:r w:rsidRPr="00D8222B">
        <w:rPr>
          <w:rFonts w:ascii="ＭＳ ゴシック" w:eastAsia="ＭＳ ゴシック" w:hint="eastAsia"/>
          <w:szCs w:val="21"/>
        </w:rPr>
        <w:t xml:space="preserve">〒102-0084 </w:t>
      </w:r>
      <w:r w:rsidRPr="00841D4D">
        <w:rPr>
          <w:rFonts w:ascii="ＭＳ ゴシック" w:eastAsia="ＭＳ ゴシック" w:hint="eastAsia"/>
          <w:spacing w:val="2"/>
          <w:kern w:val="0"/>
          <w:szCs w:val="21"/>
          <w:fitText w:val="4725" w:id="1262188549"/>
        </w:rPr>
        <w:t>東京都千代田区二番町9-8 中央労働基準協会ビ</w:t>
      </w:r>
      <w:r w:rsidRPr="00841D4D">
        <w:rPr>
          <w:rFonts w:ascii="ＭＳ ゴシック" w:eastAsia="ＭＳ ゴシック" w:hint="eastAsia"/>
          <w:spacing w:val="-17"/>
          <w:kern w:val="0"/>
          <w:szCs w:val="21"/>
          <w:fitText w:val="4725" w:id="1262188549"/>
        </w:rPr>
        <w:t>ル</w:t>
      </w:r>
    </w:p>
    <w:p w14:paraId="3B84D5FC" w14:textId="77777777" w:rsidR="00D8222B" w:rsidRPr="00D8222B" w:rsidRDefault="00D8222B" w:rsidP="00D8222B">
      <w:pPr>
        <w:spacing w:line="220" w:lineRule="exact"/>
        <w:rPr>
          <w:rFonts w:ascii="ＭＳ ゴシック" w:eastAsia="ＭＳ ゴシック" w:hint="eastAsia"/>
          <w:szCs w:val="21"/>
          <w:lang w:eastAsia="zh-CN"/>
        </w:rPr>
      </w:pPr>
      <w:r w:rsidRPr="00D8222B">
        <w:rPr>
          <w:rFonts w:ascii="ＭＳ ゴシック" w:eastAsia="ＭＳ ゴシック" w:hint="eastAsia"/>
          <w:szCs w:val="21"/>
          <w:lang w:eastAsia="zh-CN"/>
        </w:rPr>
        <w:t xml:space="preserve">　　　</w:t>
      </w:r>
      <w:r w:rsidRPr="00660B6A">
        <w:rPr>
          <w:rFonts w:ascii="ＭＳ ゴシック" w:eastAsia="ＭＳ ゴシック" w:hint="eastAsia"/>
          <w:spacing w:val="15"/>
          <w:kern w:val="0"/>
          <w:szCs w:val="21"/>
          <w:fitText w:val="3150" w:id="1262188550"/>
          <w:lang w:eastAsia="zh-CN"/>
        </w:rPr>
        <w:t>一般社団法人　全国農業会議</w:t>
      </w:r>
      <w:r w:rsidRPr="00660B6A">
        <w:rPr>
          <w:rFonts w:ascii="ＭＳ ゴシック" w:eastAsia="ＭＳ ゴシック" w:hint="eastAsia"/>
          <w:spacing w:val="-90"/>
          <w:kern w:val="0"/>
          <w:szCs w:val="21"/>
          <w:fitText w:val="3150" w:id="1262188550"/>
          <w:lang w:eastAsia="zh-CN"/>
        </w:rPr>
        <w:t>所</w:t>
      </w:r>
      <w:r w:rsidRPr="00D8222B">
        <w:rPr>
          <w:rFonts w:ascii="ＭＳ ゴシック" w:eastAsia="ＭＳ ゴシック" w:hint="eastAsia"/>
          <w:kern w:val="0"/>
          <w:szCs w:val="21"/>
          <w:lang w:eastAsia="zh-CN"/>
        </w:rPr>
        <w:t xml:space="preserve">             </w:t>
      </w:r>
      <w:r w:rsidRPr="00BC0E15">
        <w:rPr>
          <w:rFonts w:ascii="ＭＳ ゴシック" w:eastAsia="ＭＳ ゴシック" w:hint="eastAsia"/>
          <w:spacing w:val="1"/>
          <w:w w:val="97"/>
          <w:kern w:val="0"/>
          <w:fitText w:val="4725" w:id="1262188551"/>
          <w:lang w:eastAsia="zh-CN"/>
        </w:rPr>
        <w:t>TEL 03-6910-1131  http</w:t>
      </w:r>
      <w:r w:rsidR="00660B6A" w:rsidRPr="00BC0E15">
        <w:rPr>
          <w:rFonts w:ascii="ＭＳ ゴシック" w:eastAsia="ＭＳ ゴシック" w:hint="eastAsia"/>
          <w:spacing w:val="1"/>
          <w:w w:val="97"/>
          <w:kern w:val="0"/>
          <w:fitText w:val="4725" w:id="1262188551"/>
          <w:lang w:eastAsia="zh-CN"/>
        </w:rPr>
        <w:t>s</w:t>
      </w:r>
      <w:r w:rsidRPr="00BC0E15">
        <w:rPr>
          <w:rFonts w:ascii="ＭＳ ゴシック" w:eastAsia="ＭＳ ゴシック" w:hint="eastAsia"/>
          <w:spacing w:val="1"/>
          <w:w w:val="97"/>
          <w:kern w:val="0"/>
          <w:fitText w:val="4725" w:id="1262188551"/>
          <w:lang w:eastAsia="zh-CN"/>
        </w:rPr>
        <w:t>://www.nca.or.jp/tosho</w:t>
      </w:r>
      <w:r w:rsidRPr="00BC0E15">
        <w:rPr>
          <w:rFonts w:ascii="ＭＳ ゴシック" w:eastAsia="ＭＳ ゴシック" w:hint="eastAsia"/>
          <w:spacing w:val="-1"/>
          <w:w w:val="97"/>
          <w:kern w:val="0"/>
          <w:fitText w:val="4725" w:id="1262188551"/>
          <w:lang w:eastAsia="zh-CN"/>
        </w:rPr>
        <w:t>/</w:t>
      </w:r>
    </w:p>
    <w:p w14:paraId="7211F82A" w14:textId="77777777" w:rsidR="00D8222B" w:rsidRPr="00D8222B" w:rsidRDefault="00D8222B" w:rsidP="00A77D65">
      <w:pPr>
        <w:pBdr>
          <w:bottom w:val="double" w:sz="4" w:space="7" w:color="auto"/>
        </w:pBdr>
        <w:spacing w:line="60" w:lineRule="auto"/>
        <w:ind w:rightChars="51" w:right="107"/>
        <w:jc w:val="left"/>
        <w:rPr>
          <w:rFonts w:ascii="ＭＳ ゴシック" w:eastAsia="ＭＳ ゴシック" w:hint="eastAsia"/>
          <w:lang w:eastAsia="zh-CN"/>
        </w:rPr>
      </w:pPr>
    </w:p>
    <w:p w14:paraId="366A585F" w14:textId="77777777" w:rsidR="00BC0E15" w:rsidRPr="00EB46D0" w:rsidRDefault="00BC0E15" w:rsidP="00BC0E15">
      <w:pPr>
        <w:spacing w:line="60" w:lineRule="auto"/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（TEL:　　　</w:t>
      </w:r>
      <w:r w:rsidR="006E7BDC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 FAX:　　</w:t>
      </w:r>
      <w:r w:rsidR="006E7BDC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54"/>
        <w:gridCol w:w="1701"/>
      </w:tblGrid>
      <w:tr w:rsidR="00BC0E15" w:rsidRPr="00213836" w14:paraId="7E3FB47A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 w:val="restart"/>
          </w:tcPr>
          <w:p w14:paraId="28CD0AC2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</w:p>
          <w:p w14:paraId="5D226A93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0C5F68CA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</w:p>
          <w:p w14:paraId="4343C9A0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1A9ADA77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</w:p>
          <w:p w14:paraId="41BBCAD1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5C60879F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BC0E15" w:rsidRPr="00213836" w14:paraId="3F2FCB67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59" w:type="dxa"/>
            <w:vMerge/>
          </w:tcPr>
          <w:p w14:paraId="6CFBA4BA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CEB6FE1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BC0E15" w:rsidRPr="00213836" w14:paraId="04CACB8C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59" w:type="dxa"/>
            <w:vMerge/>
          </w:tcPr>
          <w:p w14:paraId="279AFEE5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00314DD1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E830E5C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BC0E15" w:rsidRPr="00213836" w14:paraId="697286A4" w14:textId="77777777" w:rsidTr="00733E2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59" w:type="dxa"/>
            <w:vMerge/>
          </w:tcPr>
          <w:p w14:paraId="72EF7FEA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690B2DD7" w14:textId="77777777" w:rsidR="00BC0E15" w:rsidRPr="00E502CF" w:rsidRDefault="00BC0E15" w:rsidP="00733E2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59041024"/>
              </w:rPr>
              <w:t>コード：</w:t>
            </w:r>
            <w:r w:rsidR="00733E24" w:rsidRPr="00E502CF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D437BE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AB7955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A5235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EA786E" w14:textId="77777777" w:rsidR="000A5235" w:rsidRDefault="00BC0E15" w:rsidP="00733E24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0A5235" w:rsidRPr="000A5235">
              <w:rPr>
                <w:rFonts w:ascii="ＭＳ ゴシック" w:eastAsia="ＭＳ ゴシック" w:hAnsi="ＭＳ ゴシック" w:hint="eastAsia"/>
                <w:sz w:val="24"/>
              </w:rPr>
              <w:t>【リーフ】準備ができていますか？</w:t>
            </w:r>
          </w:p>
          <w:p w14:paraId="7A1B004E" w14:textId="77777777" w:rsidR="00BC0E15" w:rsidRPr="00E502CF" w:rsidRDefault="000A5235" w:rsidP="000A5235">
            <w:pPr>
              <w:ind w:leftChars="500" w:left="1050" w:firstLineChars="400" w:firstLine="9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A5235">
              <w:rPr>
                <w:rFonts w:ascii="ＭＳ ゴシック" w:eastAsia="ＭＳ ゴシック" w:hAnsi="ＭＳ ゴシック" w:hint="eastAsia"/>
                <w:sz w:val="24"/>
              </w:rPr>
              <w:t>消費税のインボイス制度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78E7A359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BC0E15" w:rsidRPr="00213836" w14:paraId="1A5864D1" w14:textId="77777777" w:rsidTr="00733E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9" w:type="dxa"/>
            <w:vMerge/>
          </w:tcPr>
          <w:p w14:paraId="69A41E69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82FA45E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59041025"/>
              </w:rPr>
              <w:t>コード：</w:t>
            </w:r>
            <w:r w:rsidRPr="00E502C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C19E83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3CEAE4CD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BC0E15" w:rsidRPr="00213836" w14:paraId="5EB832F0" w14:textId="77777777" w:rsidTr="00733E2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4C205F52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10F5ABE0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59041026"/>
              </w:rPr>
              <w:t>コード：</w:t>
            </w:r>
            <w:r w:rsidRPr="00E502CF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CF771C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211932A2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BC0E15" w:rsidRPr="00213836" w14:paraId="6589BF81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5B8702F8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084A8C7" w14:textId="77777777" w:rsidR="0005509D" w:rsidRDefault="0005509D" w:rsidP="00A77D65">
      <w:pPr>
        <w:spacing w:line="60" w:lineRule="auto"/>
        <w:rPr>
          <w:rFonts w:hint="eastAsia"/>
        </w:rPr>
      </w:pPr>
    </w:p>
    <w:sectPr w:rsidR="0005509D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8792" w14:textId="77777777" w:rsidR="00CE20EF" w:rsidRDefault="00CE20EF" w:rsidP="0005509D">
      <w:r>
        <w:separator/>
      </w:r>
    </w:p>
  </w:endnote>
  <w:endnote w:type="continuationSeparator" w:id="0">
    <w:p w14:paraId="1FFB8008" w14:textId="77777777" w:rsidR="00CE20EF" w:rsidRDefault="00CE20EF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34EC" w14:textId="77777777" w:rsidR="00CE20EF" w:rsidRDefault="00CE20EF" w:rsidP="0005509D">
      <w:r>
        <w:separator/>
      </w:r>
    </w:p>
  </w:footnote>
  <w:footnote w:type="continuationSeparator" w:id="0">
    <w:p w14:paraId="531DEF68" w14:textId="77777777" w:rsidR="00CE20EF" w:rsidRDefault="00CE20EF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610637">
    <w:abstractNumId w:val="25"/>
  </w:num>
  <w:num w:numId="2" w16cid:durableId="2061248903">
    <w:abstractNumId w:val="7"/>
  </w:num>
  <w:num w:numId="3" w16cid:durableId="1420760759">
    <w:abstractNumId w:val="34"/>
  </w:num>
  <w:num w:numId="4" w16cid:durableId="301348850">
    <w:abstractNumId w:val="27"/>
  </w:num>
  <w:num w:numId="5" w16cid:durableId="2096319374">
    <w:abstractNumId w:val="14"/>
  </w:num>
  <w:num w:numId="6" w16cid:durableId="1194417904">
    <w:abstractNumId w:val="29"/>
  </w:num>
  <w:num w:numId="7" w16cid:durableId="1526091928">
    <w:abstractNumId w:val="4"/>
  </w:num>
  <w:num w:numId="8" w16cid:durableId="267011452">
    <w:abstractNumId w:val="30"/>
  </w:num>
  <w:num w:numId="9" w16cid:durableId="1932275340">
    <w:abstractNumId w:val="19"/>
  </w:num>
  <w:num w:numId="10" w16cid:durableId="1573588544">
    <w:abstractNumId w:val="2"/>
  </w:num>
  <w:num w:numId="11" w16cid:durableId="1661155298">
    <w:abstractNumId w:val="5"/>
  </w:num>
  <w:num w:numId="12" w16cid:durableId="588852186">
    <w:abstractNumId w:val="23"/>
  </w:num>
  <w:num w:numId="13" w16cid:durableId="1955364020">
    <w:abstractNumId w:val="21"/>
  </w:num>
  <w:num w:numId="14" w16cid:durableId="1595822503">
    <w:abstractNumId w:val="18"/>
  </w:num>
  <w:num w:numId="15" w16cid:durableId="985158462">
    <w:abstractNumId w:val="36"/>
  </w:num>
  <w:num w:numId="16" w16cid:durableId="697513371">
    <w:abstractNumId w:val="16"/>
  </w:num>
  <w:num w:numId="17" w16cid:durableId="1097284670">
    <w:abstractNumId w:val="32"/>
  </w:num>
  <w:num w:numId="18" w16cid:durableId="1514341633">
    <w:abstractNumId w:val="3"/>
  </w:num>
  <w:num w:numId="19" w16cid:durableId="610430041">
    <w:abstractNumId w:val="10"/>
  </w:num>
  <w:num w:numId="20" w16cid:durableId="1432702375">
    <w:abstractNumId w:val="1"/>
  </w:num>
  <w:num w:numId="21" w16cid:durableId="1418209310">
    <w:abstractNumId w:val="15"/>
  </w:num>
  <w:num w:numId="22" w16cid:durableId="1356493298">
    <w:abstractNumId w:val="31"/>
  </w:num>
  <w:num w:numId="23" w16cid:durableId="446313338">
    <w:abstractNumId w:val="28"/>
  </w:num>
  <w:num w:numId="24" w16cid:durableId="119106142">
    <w:abstractNumId w:val="8"/>
  </w:num>
  <w:num w:numId="25" w16cid:durableId="1845318413">
    <w:abstractNumId w:val="13"/>
  </w:num>
  <w:num w:numId="26" w16cid:durableId="1445075961">
    <w:abstractNumId w:val="33"/>
  </w:num>
  <w:num w:numId="27" w16cid:durableId="1752199116">
    <w:abstractNumId w:val="24"/>
  </w:num>
  <w:num w:numId="28" w16cid:durableId="998771239">
    <w:abstractNumId w:val="35"/>
  </w:num>
  <w:num w:numId="29" w16cid:durableId="889653167">
    <w:abstractNumId w:val="6"/>
  </w:num>
  <w:num w:numId="30" w16cid:durableId="1964117976">
    <w:abstractNumId w:val="12"/>
  </w:num>
  <w:num w:numId="31" w16cid:durableId="212274602">
    <w:abstractNumId w:val="20"/>
  </w:num>
  <w:num w:numId="32" w16cid:durableId="1535733625">
    <w:abstractNumId w:val="11"/>
  </w:num>
  <w:num w:numId="33" w16cid:durableId="874460847">
    <w:abstractNumId w:val="9"/>
  </w:num>
  <w:num w:numId="34" w16cid:durableId="393285456">
    <w:abstractNumId w:val="22"/>
  </w:num>
  <w:num w:numId="35" w16cid:durableId="400644907">
    <w:abstractNumId w:val="0"/>
  </w:num>
  <w:num w:numId="36" w16cid:durableId="1039208190">
    <w:abstractNumId w:val="26"/>
  </w:num>
  <w:num w:numId="37" w16cid:durableId="17643778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127DA"/>
    <w:rsid w:val="00014505"/>
    <w:rsid w:val="000258BC"/>
    <w:rsid w:val="000344E4"/>
    <w:rsid w:val="000362CA"/>
    <w:rsid w:val="000378DB"/>
    <w:rsid w:val="00040ABF"/>
    <w:rsid w:val="00045AF4"/>
    <w:rsid w:val="000521D1"/>
    <w:rsid w:val="00052D73"/>
    <w:rsid w:val="0005509D"/>
    <w:rsid w:val="00055F3E"/>
    <w:rsid w:val="00057F30"/>
    <w:rsid w:val="00061585"/>
    <w:rsid w:val="00072A90"/>
    <w:rsid w:val="00084D35"/>
    <w:rsid w:val="00090AB7"/>
    <w:rsid w:val="00091312"/>
    <w:rsid w:val="000A5235"/>
    <w:rsid w:val="000C7EF2"/>
    <w:rsid w:val="000D3502"/>
    <w:rsid w:val="000E672B"/>
    <w:rsid w:val="000F66EB"/>
    <w:rsid w:val="00105241"/>
    <w:rsid w:val="0010636E"/>
    <w:rsid w:val="00122040"/>
    <w:rsid w:val="0012423F"/>
    <w:rsid w:val="00141CA6"/>
    <w:rsid w:val="001437BB"/>
    <w:rsid w:val="001446BC"/>
    <w:rsid w:val="00163719"/>
    <w:rsid w:val="001771C8"/>
    <w:rsid w:val="001833A5"/>
    <w:rsid w:val="001A14A9"/>
    <w:rsid w:val="001A37EC"/>
    <w:rsid w:val="001A7F99"/>
    <w:rsid w:val="001C2E2E"/>
    <w:rsid w:val="001D437D"/>
    <w:rsid w:val="001E1295"/>
    <w:rsid w:val="001E2498"/>
    <w:rsid w:val="001F74AD"/>
    <w:rsid w:val="00200A02"/>
    <w:rsid w:val="0020559C"/>
    <w:rsid w:val="00207206"/>
    <w:rsid w:val="00225C0A"/>
    <w:rsid w:val="00231CAF"/>
    <w:rsid w:val="00233545"/>
    <w:rsid w:val="002350E5"/>
    <w:rsid w:val="0024400C"/>
    <w:rsid w:val="002506A6"/>
    <w:rsid w:val="00256A0C"/>
    <w:rsid w:val="00257C25"/>
    <w:rsid w:val="00265B42"/>
    <w:rsid w:val="0027249B"/>
    <w:rsid w:val="002864C4"/>
    <w:rsid w:val="00294D5B"/>
    <w:rsid w:val="002A5CBE"/>
    <w:rsid w:val="002B5ECA"/>
    <w:rsid w:val="002C68B9"/>
    <w:rsid w:val="002E3091"/>
    <w:rsid w:val="002E4158"/>
    <w:rsid w:val="00302269"/>
    <w:rsid w:val="00303229"/>
    <w:rsid w:val="00314E8E"/>
    <w:rsid w:val="00317EA3"/>
    <w:rsid w:val="0033000C"/>
    <w:rsid w:val="00335C81"/>
    <w:rsid w:val="0034283E"/>
    <w:rsid w:val="00356A78"/>
    <w:rsid w:val="00363848"/>
    <w:rsid w:val="00371A5D"/>
    <w:rsid w:val="00385A61"/>
    <w:rsid w:val="003B0F03"/>
    <w:rsid w:val="003B1181"/>
    <w:rsid w:val="003B3949"/>
    <w:rsid w:val="003B3B0D"/>
    <w:rsid w:val="003C24B7"/>
    <w:rsid w:val="003D078D"/>
    <w:rsid w:val="003D5CAD"/>
    <w:rsid w:val="003D743C"/>
    <w:rsid w:val="003E0CC5"/>
    <w:rsid w:val="003F2E00"/>
    <w:rsid w:val="004078B1"/>
    <w:rsid w:val="00417DC0"/>
    <w:rsid w:val="004238B7"/>
    <w:rsid w:val="004332F7"/>
    <w:rsid w:val="0043389E"/>
    <w:rsid w:val="004339AF"/>
    <w:rsid w:val="00437A5F"/>
    <w:rsid w:val="004608F2"/>
    <w:rsid w:val="00474D4B"/>
    <w:rsid w:val="00474E6C"/>
    <w:rsid w:val="00477562"/>
    <w:rsid w:val="00490CE8"/>
    <w:rsid w:val="0049780B"/>
    <w:rsid w:val="004A438C"/>
    <w:rsid w:val="004B435A"/>
    <w:rsid w:val="004B7A6D"/>
    <w:rsid w:val="004C7A03"/>
    <w:rsid w:val="004E33B6"/>
    <w:rsid w:val="004E3C98"/>
    <w:rsid w:val="004E4659"/>
    <w:rsid w:val="00510514"/>
    <w:rsid w:val="0051145A"/>
    <w:rsid w:val="005176A1"/>
    <w:rsid w:val="00523A82"/>
    <w:rsid w:val="00536719"/>
    <w:rsid w:val="0054582A"/>
    <w:rsid w:val="005625F2"/>
    <w:rsid w:val="00563C7E"/>
    <w:rsid w:val="00564565"/>
    <w:rsid w:val="005712DA"/>
    <w:rsid w:val="005A0AB6"/>
    <w:rsid w:val="005A4C9C"/>
    <w:rsid w:val="005A4D3A"/>
    <w:rsid w:val="005C04CE"/>
    <w:rsid w:val="005C7D16"/>
    <w:rsid w:val="005E21F4"/>
    <w:rsid w:val="006025C2"/>
    <w:rsid w:val="0061714B"/>
    <w:rsid w:val="00622DB4"/>
    <w:rsid w:val="00627793"/>
    <w:rsid w:val="006366C8"/>
    <w:rsid w:val="0064305A"/>
    <w:rsid w:val="00652395"/>
    <w:rsid w:val="0065510A"/>
    <w:rsid w:val="00660B6A"/>
    <w:rsid w:val="00663B8F"/>
    <w:rsid w:val="00666A15"/>
    <w:rsid w:val="00670408"/>
    <w:rsid w:val="00670507"/>
    <w:rsid w:val="006709E1"/>
    <w:rsid w:val="006859D6"/>
    <w:rsid w:val="00692C85"/>
    <w:rsid w:val="006A0F59"/>
    <w:rsid w:val="006C17CE"/>
    <w:rsid w:val="006C405B"/>
    <w:rsid w:val="006C61F7"/>
    <w:rsid w:val="006D741B"/>
    <w:rsid w:val="006E14CB"/>
    <w:rsid w:val="006E7BDC"/>
    <w:rsid w:val="00711D40"/>
    <w:rsid w:val="0073268B"/>
    <w:rsid w:val="00732B6A"/>
    <w:rsid w:val="00733E24"/>
    <w:rsid w:val="00754006"/>
    <w:rsid w:val="00762D12"/>
    <w:rsid w:val="007745FE"/>
    <w:rsid w:val="00774D77"/>
    <w:rsid w:val="00776C72"/>
    <w:rsid w:val="00783B5F"/>
    <w:rsid w:val="00790B45"/>
    <w:rsid w:val="007918F1"/>
    <w:rsid w:val="00793AA8"/>
    <w:rsid w:val="007B77F0"/>
    <w:rsid w:val="007C12EA"/>
    <w:rsid w:val="007C7A3B"/>
    <w:rsid w:val="007E3783"/>
    <w:rsid w:val="00800594"/>
    <w:rsid w:val="00801ACF"/>
    <w:rsid w:val="00806AA6"/>
    <w:rsid w:val="00807905"/>
    <w:rsid w:val="00812625"/>
    <w:rsid w:val="008206E5"/>
    <w:rsid w:val="008334D3"/>
    <w:rsid w:val="0083445B"/>
    <w:rsid w:val="00841D4D"/>
    <w:rsid w:val="00843A77"/>
    <w:rsid w:val="008455A0"/>
    <w:rsid w:val="008459E8"/>
    <w:rsid w:val="00853487"/>
    <w:rsid w:val="008566B7"/>
    <w:rsid w:val="00862856"/>
    <w:rsid w:val="008640AE"/>
    <w:rsid w:val="008807F4"/>
    <w:rsid w:val="00886DB1"/>
    <w:rsid w:val="00886DFE"/>
    <w:rsid w:val="008926B5"/>
    <w:rsid w:val="00895A58"/>
    <w:rsid w:val="00897EE3"/>
    <w:rsid w:val="008C06A4"/>
    <w:rsid w:val="008E4F9F"/>
    <w:rsid w:val="008F2C9A"/>
    <w:rsid w:val="008F702F"/>
    <w:rsid w:val="00901C18"/>
    <w:rsid w:val="009049EE"/>
    <w:rsid w:val="009251AC"/>
    <w:rsid w:val="00936E82"/>
    <w:rsid w:val="00941792"/>
    <w:rsid w:val="009537A1"/>
    <w:rsid w:val="00957194"/>
    <w:rsid w:val="00957424"/>
    <w:rsid w:val="0097320B"/>
    <w:rsid w:val="00973AC8"/>
    <w:rsid w:val="0097403F"/>
    <w:rsid w:val="00985CD2"/>
    <w:rsid w:val="00985E82"/>
    <w:rsid w:val="00992A3E"/>
    <w:rsid w:val="009A5171"/>
    <w:rsid w:val="009B2E21"/>
    <w:rsid w:val="009B4333"/>
    <w:rsid w:val="009C4EF1"/>
    <w:rsid w:val="009C749F"/>
    <w:rsid w:val="009D051C"/>
    <w:rsid w:val="009E036B"/>
    <w:rsid w:val="009E37A0"/>
    <w:rsid w:val="009F2508"/>
    <w:rsid w:val="00A0617E"/>
    <w:rsid w:val="00A140C6"/>
    <w:rsid w:val="00A147F3"/>
    <w:rsid w:val="00A1653D"/>
    <w:rsid w:val="00A26556"/>
    <w:rsid w:val="00A35EC6"/>
    <w:rsid w:val="00A40B2C"/>
    <w:rsid w:val="00A4322D"/>
    <w:rsid w:val="00A478E3"/>
    <w:rsid w:val="00A50045"/>
    <w:rsid w:val="00A5328A"/>
    <w:rsid w:val="00A62436"/>
    <w:rsid w:val="00A638F6"/>
    <w:rsid w:val="00A762C1"/>
    <w:rsid w:val="00A77D65"/>
    <w:rsid w:val="00A84F3F"/>
    <w:rsid w:val="00AB35E2"/>
    <w:rsid w:val="00AB4B6D"/>
    <w:rsid w:val="00AB7955"/>
    <w:rsid w:val="00AC48DE"/>
    <w:rsid w:val="00AF0579"/>
    <w:rsid w:val="00AF26DB"/>
    <w:rsid w:val="00AF3EFE"/>
    <w:rsid w:val="00B00072"/>
    <w:rsid w:val="00B010D2"/>
    <w:rsid w:val="00B03A7D"/>
    <w:rsid w:val="00B03BD7"/>
    <w:rsid w:val="00B059D1"/>
    <w:rsid w:val="00B31549"/>
    <w:rsid w:val="00B33D62"/>
    <w:rsid w:val="00B348DF"/>
    <w:rsid w:val="00B47C4E"/>
    <w:rsid w:val="00B654B3"/>
    <w:rsid w:val="00B656AC"/>
    <w:rsid w:val="00B66C0E"/>
    <w:rsid w:val="00B876AD"/>
    <w:rsid w:val="00B94203"/>
    <w:rsid w:val="00B96A07"/>
    <w:rsid w:val="00B97A11"/>
    <w:rsid w:val="00BA21BE"/>
    <w:rsid w:val="00BB1B40"/>
    <w:rsid w:val="00BB4315"/>
    <w:rsid w:val="00BC0E15"/>
    <w:rsid w:val="00BC2AE1"/>
    <w:rsid w:val="00BC3856"/>
    <w:rsid w:val="00BD167C"/>
    <w:rsid w:val="00BE531E"/>
    <w:rsid w:val="00C075C8"/>
    <w:rsid w:val="00C13254"/>
    <w:rsid w:val="00C13804"/>
    <w:rsid w:val="00C234FB"/>
    <w:rsid w:val="00C259C3"/>
    <w:rsid w:val="00C27631"/>
    <w:rsid w:val="00C30E65"/>
    <w:rsid w:val="00C61CEA"/>
    <w:rsid w:val="00C62698"/>
    <w:rsid w:val="00C8056E"/>
    <w:rsid w:val="00C84BD1"/>
    <w:rsid w:val="00C86EBD"/>
    <w:rsid w:val="00C979DC"/>
    <w:rsid w:val="00CB41A0"/>
    <w:rsid w:val="00CB4F7C"/>
    <w:rsid w:val="00CB7B81"/>
    <w:rsid w:val="00CC2BEF"/>
    <w:rsid w:val="00CC4F6F"/>
    <w:rsid w:val="00CE0D31"/>
    <w:rsid w:val="00CE20EF"/>
    <w:rsid w:val="00D437BE"/>
    <w:rsid w:val="00D43F17"/>
    <w:rsid w:val="00D60D57"/>
    <w:rsid w:val="00D63B79"/>
    <w:rsid w:val="00D6453D"/>
    <w:rsid w:val="00D73F31"/>
    <w:rsid w:val="00D74B42"/>
    <w:rsid w:val="00D8222B"/>
    <w:rsid w:val="00D96733"/>
    <w:rsid w:val="00D972EC"/>
    <w:rsid w:val="00DD19FC"/>
    <w:rsid w:val="00DD61F8"/>
    <w:rsid w:val="00DD7D07"/>
    <w:rsid w:val="00DE1EFA"/>
    <w:rsid w:val="00DE7094"/>
    <w:rsid w:val="00DF4EB3"/>
    <w:rsid w:val="00DF589B"/>
    <w:rsid w:val="00DF6F59"/>
    <w:rsid w:val="00E02BF8"/>
    <w:rsid w:val="00E03F34"/>
    <w:rsid w:val="00E06BF5"/>
    <w:rsid w:val="00E06E52"/>
    <w:rsid w:val="00E07C3B"/>
    <w:rsid w:val="00E13897"/>
    <w:rsid w:val="00E15B60"/>
    <w:rsid w:val="00E20807"/>
    <w:rsid w:val="00E25878"/>
    <w:rsid w:val="00E33DAA"/>
    <w:rsid w:val="00E34894"/>
    <w:rsid w:val="00E35865"/>
    <w:rsid w:val="00E36C27"/>
    <w:rsid w:val="00E435D2"/>
    <w:rsid w:val="00E43D57"/>
    <w:rsid w:val="00E467AE"/>
    <w:rsid w:val="00E502CF"/>
    <w:rsid w:val="00E5090F"/>
    <w:rsid w:val="00E62282"/>
    <w:rsid w:val="00E67F1E"/>
    <w:rsid w:val="00E711E7"/>
    <w:rsid w:val="00E8043C"/>
    <w:rsid w:val="00E87143"/>
    <w:rsid w:val="00E931B4"/>
    <w:rsid w:val="00E94EB9"/>
    <w:rsid w:val="00E97009"/>
    <w:rsid w:val="00EA2037"/>
    <w:rsid w:val="00EA5E0D"/>
    <w:rsid w:val="00EA7383"/>
    <w:rsid w:val="00EB762B"/>
    <w:rsid w:val="00EF092E"/>
    <w:rsid w:val="00EF28F0"/>
    <w:rsid w:val="00EF4A0B"/>
    <w:rsid w:val="00EF7339"/>
    <w:rsid w:val="00EF76B6"/>
    <w:rsid w:val="00F00E95"/>
    <w:rsid w:val="00F13F8D"/>
    <w:rsid w:val="00F17C7A"/>
    <w:rsid w:val="00F24418"/>
    <w:rsid w:val="00F24BD4"/>
    <w:rsid w:val="00F24FE4"/>
    <w:rsid w:val="00F315E0"/>
    <w:rsid w:val="00F34791"/>
    <w:rsid w:val="00F56F3A"/>
    <w:rsid w:val="00F70B4F"/>
    <w:rsid w:val="00F9694B"/>
    <w:rsid w:val="00FB4DCB"/>
    <w:rsid w:val="00FB6797"/>
    <w:rsid w:val="00FD29F8"/>
    <w:rsid w:val="00FE47EA"/>
    <w:rsid w:val="00FE6F1D"/>
    <w:rsid w:val="00FF35BC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AB08F2"/>
  <w15:chartTrackingRefBased/>
  <w15:docId w15:val="{57250ED1-60DA-4BA6-BB25-F39DBA6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3</cp:revision>
  <cp:lastPrinted>2019-10-21T06:48:00Z</cp:lastPrinted>
  <dcterms:created xsi:type="dcterms:W3CDTF">2023-02-28T08:25:00Z</dcterms:created>
  <dcterms:modified xsi:type="dcterms:W3CDTF">2023-02-28T08:26:00Z</dcterms:modified>
</cp:coreProperties>
</file>